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AB" w:rsidRPr="00EA7AAB" w:rsidRDefault="00EA7AAB" w:rsidP="00EA7AAB">
      <w:pPr>
        <w:shd w:val="clear" w:color="auto" w:fill="FFFFFF"/>
        <w:spacing w:before="300" w:after="150"/>
        <w:outlineLvl w:val="0"/>
        <w:rPr>
          <w:rFonts w:ascii="Impact" w:eastAsia="Times New Roman" w:hAnsi="Impact" w:cs="Times New Roman"/>
          <w:b/>
          <w:bCs/>
          <w:color w:val="004D7B"/>
          <w:kern w:val="36"/>
          <w:sz w:val="51"/>
          <w:szCs w:val="51"/>
          <w:lang w:eastAsia="ru-RU"/>
        </w:rPr>
      </w:pPr>
      <w:r w:rsidRPr="00EA7AAB">
        <w:rPr>
          <w:rFonts w:ascii="Impact" w:eastAsia="Times New Roman" w:hAnsi="Impact" w:cs="Times New Roman"/>
          <w:b/>
          <w:bCs/>
          <w:color w:val="004D7B"/>
          <w:kern w:val="36"/>
          <w:sz w:val="51"/>
          <w:szCs w:val="51"/>
          <w:lang w:eastAsia="ru-RU"/>
        </w:rPr>
        <w:t>Как избежать заражения холерой</w:t>
      </w:r>
    </w:p>
    <w:p w:rsidR="00EA7AAB" w:rsidRPr="00EA7AAB" w:rsidRDefault="00EA7AAB" w:rsidP="00EA7AAB">
      <w:pPr>
        <w:shd w:val="clear" w:color="auto" w:fill="FFFFFF"/>
        <w:rPr>
          <w:rFonts w:ascii="Impact" w:eastAsia="Times New Roman" w:hAnsi="Impact" w:cs="Times New Roman"/>
          <w:color w:val="000000"/>
          <w:sz w:val="27"/>
          <w:szCs w:val="27"/>
          <w:lang w:eastAsia="ru-RU"/>
        </w:rPr>
      </w:pPr>
      <w:r w:rsidRPr="00EA7AAB">
        <w:rPr>
          <w:rFonts w:ascii="Impact" w:eastAsia="Times New Roman" w:hAnsi="Impact" w:cs="Times New Roman"/>
          <w:color w:val="000000"/>
          <w:sz w:val="27"/>
          <w:szCs w:val="27"/>
          <w:lang w:eastAsia="ru-RU"/>
        </w:rPr>
        <w:t>Холера – острая кишечная инфекция, возникающая при поражении человека холерным вибрионом. Холера проявляется выраженной частой диареей, обильной многократной рвотой. При своевременном лечении после подавления инфекции наступает выздоровление.</w:t>
      </w:r>
    </w:p>
    <w:p w:rsidR="00EA7AAB" w:rsidRPr="00EA7AAB" w:rsidRDefault="00EA7AAB" w:rsidP="00EA7AA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144000" cy="4895850"/>
            <wp:effectExtent l="19050" t="0" r="0" b="0"/>
            <wp:docPr id="1" name="Рисунок 1" descr="https://rstomat4.medgis.ru/uploads/49/0f/0f/f0/490f0ff02a3c60ad4019f083f99793cd930a38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tomat4.medgis.ru/uploads/49/0f/0f/f0/490f0ff02a3c60ad4019f083f99793cd930a38c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Холера</w:t>
      </w: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острая кишечная инфекция, возникающая при поражении человека холерным вибрионом. Холера проявляется выраженной частой диареей, обильной многократной рвотой, что приводит к значительной потере жидкости и обезвоживанию организма. Признаками дегидратации служат сухость кожных покровов и слизистых, снижением тургора тканей и сморщивание кожи, заострение черт лица,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олигоанурия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Диагноз холеры подтверждается результатами бактериологического посева каловых и рвотных масс, серологическими методиками. Лечение включает изоляцию холерного больного, парентеральную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регидратацию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терапию тетрациклиновыми антибиотиками.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Холера – особо опасная инфекция, вызываемая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энтеропатогенной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бактерией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Vibrio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cholerae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протекающая с развитием тяжёлого гастроэнтерита и выраженным обезвоживанием вплоть до развития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дигидратационного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шока. Холера имеет тенденцию к эпидемическому распространению и высокую летальность, поэтому отнесена ВОЗ к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высокопатогенным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карантинным инфекциям. Наиболее часто эпидемические вспышки холеры регистрируются в странах Африки, Латинской Америки, Юго-Восточной Азии. По оценкам ВОЗ, ежегодно холерой заражается 3-5 млн. человек, около 100-120 тыс. случаев заболевания заканчивается смертельно. Т. о., на сегодняшний день холера остается глобальной проблемой мирового здравоохранения.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возбудителя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день обнаружено более 150 типов холерных вибрионов, различающихся по серологическим признакам. Холерные вибрионы разделяют на две группы: А и В. Холеру </w:t>
      </w:r>
      <w:proofErr w:type="gram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вызывают вибрионы группы А. Холерный вибрион представляет</w:t>
      </w:r>
      <w:proofErr w:type="gram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собой грамотрицательную подвижную бактерию, выделяющую в процессе жизнедеятельности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термостабильный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эндотоксин, а также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термолабильный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энтеротоксин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холероген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Возбудитель устойчив к действию окружающей среды, сохраняет жизнеспособность в проточном водоеме до нескольких месяцев, до 30 часов в сточных водах. Хорошей питательной средой является молоко, мясо. Холерный вибрион погибает при химическом дезинфицировании, кипячении, высушивании и воздействии солнечного света. Отмечается чувствительность к тетрациклинам и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фторхинолонам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Резервуаром и источником инфекции является больной человек или транзиторный носитель инфекции. Наиболее активно выделяются бактерии </w:t>
      </w:r>
      <w:proofErr w:type="gram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дни с рвотными и фекальными массами. Тяжело выявить инфицированных лиц с легко протекающей холерой, однако они представляют опасность в плане заражения. В очаге обнаружения холеры обследованию подвергаются все контактировавшие, вне зависимости от клинических проявлений. Заразность с течением времени уменьшается, и обычно к 3-й неделе происходит выздоровление и освобождение от бактерий. Однако в некоторых случаях носительство продолжается до года и более. Удлинению срока носительства способствуют сопутствующие инфекции.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Холера передается бытовым (грязные руки, предметы, посуда), пищевым и водным путем по фекально-оральному механизму. В настоящее время особое место в передаче холеры отводится мухам. Водный путь (загрязненный источник воды) является наиболее распространенным. </w:t>
      </w: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Холера является инфекцией с высокой восприимчивостью, наиболее легко происходит заражение людей с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гипоацидозом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некоторыми анемиями, зараженных гельминтами, злоупотребляющих алкоголем.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Симптомы холеры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Инкубационный период при заражении холерным вибрионом продолжается от нескольких часов до 5 дней. Начало заболевания острое, обычно ночью или утром. Первым симптомом выступает интенсивный безболезненный позыв к дефекации, сопровождающийся дискомфортным ощущением в животе. Первоначально стул имеет разжиженную консистенцию, но сохраняет каловый характер. Довольно быстро частота дефекаций увеличивается, достигает 10 и более раз за сутки, при этом стул становится бесцветным, водянистым. При холере испражнения обычно не зловонны в отличие от других инфекционных заболеваний кишечника. Повышенная секреция воды в просвет кишечника способствует заметному увеличению количества выделяемых каловых масс. В 20-40% случаев кал приобретает консистенцию рисового отвара. Обычно испражнения имеют вид зеленоватой жидкости с белыми рыхлыми хлопьями, похожими </w:t>
      </w:r>
      <w:proofErr w:type="gram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рисовые.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отмечается урчание, бурление в животе, дискомфорт, переливание жидкости в кишечнике. Прогрессирующая потеря жидкости организмом приводит к проявлению симптомов обезвоживания: сухость во рту, жажда, затем появляется ощущение похолодания конечностей, звон в ушах, головокружение. Эти симптомы говорят о значительном обезвоживании и требуют экстренных мер по восстановлению водно-солевого гомеостаза организма.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к диарее зачастую присоединяется частая рвота, потеря жидкости усугубляется. Рвота возникает обычно спустя несколько часов, иногда на следующие сутки после начала диареи. Рвота обильная, многократная, начинается внезапно и сопровождается интенсивным ощущением тошноты и болью в верхней части живота под грудиной. Первоначально в рвотных массах отмечаются остатки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непереваренной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пищи, затем желчь. Со временем, рвотные массы также становятся водянистыми, приобретая иногда вид рисового отвара.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рвоте происходит быстрая потеря организмом ионов натрия и хлора, что приводит к развитию мышечных судорог, сначала в мышцах пальцев, затем всех конечностей. При прогрессировании дефицита электролитов мышечные судороги могут распространиться на спину, диафрагму, брюшную стенку. Мышечная слабость и головокружение нарастает вплоть до невозможности подняться и дойти до туалета. При этом сознание полностью сохраняется.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Выраженной болезненности в животе, в отличие от большинства кишечных инфекций, при холере не отмечается. 20-30% больных жалуются на умеренную боль. Не характерна и лихорадка, температура тела остается в нормальных пределах, иногда достигает субфебрильных цифр. Выраженная дегидратация проявляется снижением температуры тела.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Сильное обезвоживание характеризуется побледнением и сухостью кожных покровов, снижением тургора, цианозом губ и дистальных фаланг пальцев. Сухость характерна и для слизистых оболочек. С прогрессированием дегидратации отмечают осиплость голоса (снижается эластичность голосовых связок) вплоть до афонии. Черты лица заостряются, живот втягивается, под глазами проявляются темные круги, </w:t>
      </w: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сморщивается кожа на подушечках пальцев и ладонях (симптом «рук прачки»). При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физикальном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исследовании отмечается тахикардия, артериальная гипотензия. Снижается количество мочи.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дальнейшей потере жидкости (потеря более 10% массы тела) и ионов происходит прогрессирование дегидратации. Возникает анурия, значительная гипотермия, пульс в лучевой артерии не прощупывается, периферическое артериальное давление не определяется. При этом диарея и рвота становятся менее частыми в связи с параличом кишечной мускулатуры. Данное состояние называют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дегидратационным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шоком.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Дегидратация организма различается по стадиям: на первой стадии потеря жидкости не превышает 3% от массы тела, вторая и третья стадии подразумевает потерю в размере 3-6 и 6-9% массы тела соответственно, и на четвертой стадии (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дигидратационный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шок) потеря жидкости превышает 9% массы тела. Нарастание клинических проявлений холеры может прекратиться на любом этапе, течение может быть стертым. В зависимости от тяжести дегидратации и скорости нарастания потери жидкости различают холеру легкого, среднетяжелого и тяжелого течения. Тяжелая форма холеры отмечается у 10-12% пациентов. В случаях молниеносного течения развитие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дегидратационного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шока возможно в течение первых 10-12 часов.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Холера может осложняться присоединением других инфекций, развитием пневмонии, тромбофлебита и гнойного воспаления (абсцесс, флегмона), тромбозом сосудов брыжейки и ишемией кишечника. Значительная потеря жидкости может способствовать возникновению расстройств мозгового кровообращения, инфарктом миокарда.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холеры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Тяжело протекающая холера диагностируется на основании данных клинической картины и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физикального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обследования. Окончательный диагноз устанавливают на основании бактериологического посева каловых или рвотных масс, кишечного содержимого (секционный анализ). Материал для посева необходимо доставить в лабораторию не позднее 3-х часов с момента получения, результат будет готов через 3-4 суток.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Существуют серологические методики выявления заражения холерным вибрионом (РА, РНГА,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виброцидный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тест, ИФА, РКА), но они не являются достаточными для окончательной диагностики, считаясь методами ускоренного ориентировочного определения возбудителя. Ускоренными методиками для подтверждения предварительного диагноза можно считать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люминисцентно-серологический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анализ, микроскопию в темном поле иммобилизованных </w:t>
      </w:r>
      <w:proofErr w:type="spellStart"/>
      <w:proofErr w:type="gram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О-сывороткой</w:t>
      </w:r>
      <w:proofErr w:type="spellEnd"/>
      <w:proofErr w:type="gram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вибрионов.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Лечение холеры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основную опасность при холере представляет прогрессирующая потеря жидкости, ее восполнение в организме является основной задачей лечения этой инфекции. Лечение холеры производится в специализированном инфекционном отделении с изолированной палате (боксе), оборудованной специальной койкой (койка Филипса) с весами и посудой для сбора испражнений. Для точного определения степени дегидратации ведут учет их объема, регулярно определяют гематокрит, уровень ионов в сыворотке, кислотно-щелочной показатель.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Первичные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регидратационные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включают восполнение имеющегося дефицита жидкости и электролитов. В тяжелых случаях производится внутривенное введение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полиионных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растворов. После этого производят </w:t>
      </w:r>
      <w:proofErr w:type="gram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компенсаторную</w:t>
      </w:r>
      <w:proofErr w:type="gram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регидратацию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Введение жидкости происходит в соответствии с ее потерями. Возникновение рвоты не является противопоказанием к продолжению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регидратации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восстановления водно-солевого баланса и прекращения рвоты начинают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антибиотикотерапию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холере назначают курс препаратов тетрациклинового ряда, а в случае повторного выделения бактерий –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хлорамфеникол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Специфической диеты при холере нет, </w:t>
      </w:r>
      <w:proofErr w:type="gram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дни могут рекомендовать стол N°4, а после стихания выраженной симптоматики и восстановления кишечной деятельности (3-5-й лень лечения) - питание без особенностей. </w:t>
      </w:r>
      <w:proofErr w:type="gram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Перенесшим</w:t>
      </w:r>
      <w:proofErr w:type="gram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холеру рекомендовано увеличить в рационе содержащие калия продукты (курага, томатный и апельсиновый соки, бананы).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 и профилактика холеры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своевременном и полном лечении после подавления инфекции наступает выздоровление. В настоящее время современные препараты эффективно действуют на холерный вибрион, а </w:t>
      </w:r>
      <w:proofErr w:type="spellStart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регидратационная</w:t>
      </w:r>
      <w:proofErr w:type="spellEnd"/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 способствует профилактике осложнений.</w:t>
      </w:r>
    </w:p>
    <w:p w:rsidR="00EA7AAB" w:rsidRPr="00EA7AAB" w:rsidRDefault="00EA7AAB" w:rsidP="00EA7AAB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Специфическая профилактика холеры заключается в однократной вакцинации холерным токсином перед посещением регионов с высоким уровнем распространения этого заболевания. При необходимости через 3 месяца производят ревакцинацию. Неспецифические меры профилактики холеры подразумевают соблюдение санитарно-гигиенических норм в населенных местах, на предприятиях питания, в районах забора вод для нужд населения. Индивидуальная профилактика заключается в соблюдении гигиены, кипячении употребляемой воды, мытье продуктов питания и их правильной кулинарной обработке. При обнаружении случая холеры эпидемиологический очаг подлежит дезинфекции, больные изолируются, все контактные лица наблюдаются в течение 5-ти дней на предмет выявления возможного заражения.</w:t>
      </w:r>
    </w:p>
    <w:p w:rsidR="00A94119" w:rsidRPr="00EA7AAB" w:rsidRDefault="00A94119">
      <w:pPr>
        <w:rPr>
          <w:rFonts w:ascii="Times New Roman" w:hAnsi="Times New Roman" w:cs="Times New Roman"/>
          <w:sz w:val="24"/>
          <w:szCs w:val="24"/>
        </w:rPr>
      </w:pPr>
    </w:p>
    <w:sectPr w:rsidR="00A94119" w:rsidRPr="00EA7AAB" w:rsidSect="00EA7AA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AAB"/>
    <w:rsid w:val="00A94119"/>
    <w:rsid w:val="00B24FBB"/>
    <w:rsid w:val="00EA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19"/>
  </w:style>
  <w:style w:type="paragraph" w:styleId="1">
    <w:name w:val="heading 1"/>
    <w:basedOn w:val="a"/>
    <w:link w:val="10"/>
    <w:uiPriority w:val="9"/>
    <w:qFormat/>
    <w:rsid w:val="00EA7A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7AA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A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7A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A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7A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9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978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99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265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1685</Words>
  <Characters>9605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№3-2</dc:creator>
  <cp:lastModifiedBy>Школа №3-2</cp:lastModifiedBy>
  <cp:revision>1</cp:revision>
  <dcterms:created xsi:type="dcterms:W3CDTF">2024-05-06T11:51:00Z</dcterms:created>
  <dcterms:modified xsi:type="dcterms:W3CDTF">2024-05-06T11:53:00Z</dcterms:modified>
</cp:coreProperties>
</file>